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numPr>
          <w:ilvl w:val="0"/>
          <w:numId w:val="1"/>
        </w:numPr>
        <w:kinsoku/>
        <w:autoSpaceDE/>
        <w:autoSpaceDN/>
        <w:bidi w:val="0"/>
        <w:adjustRightInd/>
        <w:snapToGrid/>
        <w:ind w:firstLine="442" w:firstLineChars="100"/>
        <w:jc w:val="center"/>
        <w:textAlignment w:val="auto"/>
        <w:outlineLvl w:val="0"/>
        <w:rPr>
          <w:rFonts w:hint="eastAsia" w:ascii="仿宋_GB2312" w:hAnsi="仿宋_GB2312" w:cs="仿宋_GB2312"/>
          <w:snapToGrid/>
          <w:color w:val="auto"/>
          <w:kern w:val="2"/>
          <w:sz w:val="44"/>
          <w:szCs w:val="44"/>
          <w:highlight w:val="none"/>
          <w:lang w:eastAsia="zh-CN"/>
        </w:rPr>
      </w:pPr>
      <w:bookmarkStart w:id="0" w:name="_Toc24925"/>
      <w:r>
        <w:rPr>
          <w:rFonts w:hint="eastAsia" w:ascii="仿宋_GB2312" w:hAnsi="仿宋_GB2312" w:cs="仿宋_GB2312"/>
          <w:snapToGrid/>
          <w:color w:val="auto"/>
          <w:kern w:val="2"/>
          <w:sz w:val="44"/>
          <w:szCs w:val="44"/>
          <w:highlight w:val="none"/>
          <w:lang w:eastAsia="zh-CN"/>
        </w:rPr>
        <w:t xml:space="preserve"> </w:t>
      </w:r>
      <w:r>
        <w:rPr>
          <w:rFonts w:hint="eastAsia" w:ascii="仿宋_GB2312" w:hAnsi="仿宋_GB2312" w:cs="仿宋_GB2312"/>
          <w:snapToGrid/>
          <w:color w:val="auto"/>
          <w:kern w:val="2"/>
          <w:sz w:val="44"/>
          <w:szCs w:val="44"/>
          <w:highlight w:val="none"/>
          <w:lang w:val="en-US" w:eastAsia="zh-CN"/>
        </w:rPr>
        <w:t>科研生产外协</w:t>
      </w:r>
      <w:r>
        <w:rPr>
          <w:rFonts w:hint="eastAsia" w:ascii="仿宋_GB2312" w:hAnsi="仿宋_GB2312" w:cs="仿宋_GB2312"/>
          <w:snapToGrid/>
          <w:color w:val="auto"/>
          <w:kern w:val="2"/>
          <w:sz w:val="44"/>
          <w:szCs w:val="44"/>
          <w:highlight w:val="none"/>
          <w:lang w:eastAsia="zh-CN"/>
        </w:rPr>
        <w:t>项目技术、服务及其他商务要求</w:t>
      </w:r>
      <w:bookmarkEnd w:id="0"/>
    </w:p>
    <w:p>
      <w:pPr>
        <w:spacing w:line="560" w:lineRule="exact"/>
        <w:ind w:firstLine="602" w:firstLineChars="200"/>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rPr>
        <w:t>特别注意：采购文件标注“★”号或“实质性要求”的为重要条款（含重要的商务和技术条款），文件对这些重要条款的任何负偏离、不响应都将导致其响应文件作无效处理。</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eastAsia" w:ascii="仿宋_GB2312" w:hAnsi="仿宋_GB2312" w:eastAsia="仿宋_GB2312" w:cs="仿宋_GB2312"/>
          <w:b/>
          <w:bCs w:val="0"/>
          <w:spacing w:val="0"/>
          <w:sz w:val="32"/>
          <w:szCs w:val="32"/>
          <w:lang w:val="en-US" w:eastAsia="zh-CN"/>
        </w:rPr>
      </w:pPr>
      <w:r>
        <w:rPr>
          <w:rFonts w:hint="eastAsia" w:ascii="仿宋_GB2312" w:hAnsi="仿宋_GB2312" w:eastAsia="仿宋_GB2312" w:cs="仿宋_GB2312"/>
          <w:b/>
          <w:bCs w:val="0"/>
          <w:spacing w:val="0"/>
          <w:sz w:val="32"/>
          <w:szCs w:val="32"/>
          <w:lang w:val="en-US" w:eastAsia="zh-CN"/>
        </w:rPr>
        <w:t>一、科研外协技术内容、技术要求与外协周期</w:t>
      </w:r>
      <w:r>
        <w:rPr>
          <w:rFonts w:hint="eastAsia" w:ascii="仿宋_GB2312" w:hAnsi="仿宋_GB2312" w:eastAsia="仿宋_GB2312" w:cs="仿宋_GB2312"/>
          <w:b/>
          <w:bCs/>
          <w:sz w:val="30"/>
          <w:szCs w:val="30"/>
          <w:highlight w:val="none"/>
        </w:rPr>
        <w:t>★</w:t>
      </w: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color w:val="000000"/>
          <w:spacing w:val="-2"/>
          <w:kern w:val="0"/>
          <w:sz w:val="30"/>
          <w:szCs w:val="30"/>
          <w:lang w:val="en-US" w:eastAsia="zh-CN" w:bidi="ar-SA"/>
        </w:rPr>
      </w:pPr>
      <w:r>
        <w:rPr>
          <w:rFonts w:hint="eastAsia" w:ascii="仿宋_GB2312" w:hAnsi="仿宋_GB2312" w:eastAsia="仿宋_GB2312" w:cs="仿宋_GB2312"/>
          <w:snapToGrid w:val="0"/>
          <w:color w:val="000000"/>
          <w:spacing w:val="-2"/>
          <w:kern w:val="0"/>
          <w:sz w:val="30"/>
          <w:szCs w:val="30"/>
          <w:lang w:val="en-US" w:eastAsia="zh-CN" w:bidi="ar-SA"/>
        </w:rPr>
        <w:t>1.外协内容：</w:t>
      </w:r>
    </w:p>
    <w:p>
      <w:pPr>
        <w:pStyle w:val="2"/>
        <w:keepNext w:val="0"/>
        <w:keepLines w:val="0"/>
        <w:pageBreakBefore w:val="0"/>
        <w:widowControl/>
        <w:kinsoku/>
        <w:wordWrap/>
        <w:overflowPunct/>
        <w:topLinePunct w:val="0"/>
        <w:autoSpaceDE/>
        <w:autoSpaceDN/>
        <w:bidi w:val="0"/>
        <w:adjustRightInd/>
        <w:snapToGrid/>
        <w:spacing w:before="0" w:after="0" w:afterLines="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完成14支大灵敏面平响应XRD探测器响应能区范围，配套21个平响应滤片的整体平响应曲线非平整度非平整度和14个中性衰减片衰减系数的标定测试，负责提供专业的测试技术人员，申请同步辐射X光校准平台使用权限，提供配套的测试仪器、测试工装及辅料，并提供测试报告。</w:t>
      </w: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textAlignment w:val="auto"/>
        <w:rPr>
          <w:rFonts w:hint="eastAsia" w:ascii="仿宋_GB2312" w:hAnsi="仿宋_GB2312" w:eastAsia="仿宋_GB2312" w:cs="仿宋_GB2312"/>
          <w:snapToGrid w:val="0"/>
          <w:color w:val="000000"/>
          <w:spacing w:val="-2"/>
          <w:kern w:val="0"/>
          <w:sz w:val="30"/>
          <w:szCs w:val="30"/>
          <w:lang w:val="en-US" w:eastAsia="zh-CN" w:bidi="ar-SA"/>
        </w:rPr>
      </w:pPr>
      <w:r>
        <w:rPr>
          <w:rFonts w:hint="eastAsia" w:ascii="仿宋_GB2312" w:hAnsi="仿宋_GB2312" w:eastAsia="仿宋_GB2312" w:cs="仿宋_GB2312"/>
          <w:snapToGrid w:val="0"/>
          <w:color w:val="000000"/>
          <w:spacing w:val="-2"/>
          <w:kern w:val="0"/>
          <w:sz w:val="30"/>
          <w:szCs w:val="30"/>
          <w:lang w:val="en-US" w:eastAsia="zh-CN" w:bidi="ar-SA"/>
        </w:rPr>
        <w:t>2.测试内容：</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(1)探测器标定：提供同步辐射光源XRD探测器绝对灵敏度的标定数据；</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(2)平响应滤片标定：；提供同步辐射光源平响应滤片标定数据和平响应滤片与XRD探测器整体配合的平响应曲线数据；</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(3)中性衰减滤片标定测试：直径测量，衰减系数测试标定。</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(4)测试设备要求：</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同步辐射X光校准平台：能区范围覆盖100eV-5500eV；</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配套的测试仪器、测试工装及辅料。</w:t>
      </w: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napToGrid w:val="0"/>
          <w:color w:val="000000"/>
          <w:spacing w:val="-2"/>
          <w:kern w:val="0"/>
          <w:sz w:val="30"/>
          <w:szCs w:val="30"/>
          <w:lang w:val="en-US" w:eastAsia="zh-CN" w:bidi="ar-SA"/>
        </w:rPr>
      </w:pPr>
      <w:r>
        <w:rPr>
          <w:rFonts w:hint="eastAsia" w:ascii="仿宋_GB2312" w:hAnsi="仿宋_GB2312" w:eastAsia="仿宋_GB2312" w:cs="仿宋_GB2312"/>
          <w:snapToGrid w:val="0"/>
          <w:color w:val="000000"/>
          <w:spacing w:val="-2"/>
          <w:kern w:val="0"/>
          <w:sz w:val="30"/>
          <w:szCs w:val="30"/>
          <w:lang w:val="en-US" w:eastAsia="zh-CN" w:bidi="ar-SA"/>
        </w:rPr>
        <w:t>2.交付内容及验收要求</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595"/>
        <w:gridCol w:w="2931"/>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2595" w:type="dxa"/>
          </w:tcPr>
          <w:p>
            <w:pPr>
              <w:widowControl w:val="0"/>
              <w:spacing w:line="360" w:lineRule="exact"/>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交付内容</w:t>
            </w:r>
          </w:p>
        </w:tc>
        <w:tc>
          <w:tcPr>
            <w:tcW w:w="2931" w:type="dxa"/>
          </w:tcPr>
          <w:p>
            <w:pPr>
              <w:widowControl w:val="0"/>
              <w:spacing w:line="360" w:lineRule="exact"/>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验收要求</w:t>
            </w:r>
          </w:p>
        </w:tc>
        <w:tc>
          <w:tcPr>
            <w:tcW w:w="2138" w:type="dxa"/>
          </w:tcPr>
          <w:p>
            <w:pPr>
              <w:widowControl w:val="0"/>
              <w:spacing w:line="360" w:lineRule="exact"/>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验收方法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bookmarkStart w:id="1" w:name="_Hlk211007024"/>
            <w:r>
              <w:rPr>
                <w:rFonts w:hint="eastAsia" w:ascii="仿宋_GB2312" w:hAnsi="仿宋_GB2312" w:eastAsia="仿宋_GB2312" w:cs="仿宋_GB2312"/>
                <w:b/>
                <w:bCs/>
                <w:sz w:val="28"/>
                <w:szCs w:val="28"/>
              </w:rPr>
              <w:t>1</w:t>
            </w:r>
          </w:p>
        </w:tc>
        <w:tc>
          <w:tcPr>
            <w:tcW w:w="2595" w:type="dxa"/>
            <w:vAlign w:val="center"/>
          </w:tcPr>
          <w:p>
            <w:pPr>
              <w:widowControl w:val="0"/>
              <w:spacing w:line="36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测试大纲</w:t>
            </w:r>
          </w:p>
        </w:tc>
        <w:tc>
          <w:tcPr>
            <w:tcW w:w="2931" w:type="dxa"/>
            <w:vAlign w:val="center"/>
          </w:tcPr>
          <w:p>
            <w:pPr>
              <w:widowControl w:val="0"/>
              <w:spacing w:line="360" w:lineRule="exact"/>
              <w:outlineLvl w:val="1"/>
              <w:rPr>
                <w:rFonts w:hint="eastAsia" w:ascii="仿宋_GB2312" w:hAnsi="仿宋_GB2312" w:eastAsia="仿宋_GB2312" w:cs="仿宋_GB2312"/>
                <w:sz w:val="28"/>
                <w:szCs w:val="28"/>
              </w:rPr>
            </w:pPr>
            <w:bookmarkStart w:id="2" w:name="OLE_LINK7"/>
            <w:r>
              <w:rPr>
                <w:rFonts w:hint="eastAsia" w:ascii="仿宋_GB2312" w:hAnsi="仿宋_GB2312" w:eastAsia="仿宋_GB2312" w:cs="仿宋_GB2312"/>
                <w:sz w:val="28"/>
                <w:szCs w:val="28"/>
              </w:rPr>
              <w:t>合同签订后10天内完成测试大纲评审会签，提供纸质版及电子版材料</w:t>
            </w:r>
            <w:bookmarkEnd w:id="2"/>
            <w:r>
              <w:rPr>
                <w:rFonts w:hint="eastAsia" w:ascii="仿宋_GB2312" w:hAnsi="仿宋_GB2312" w:eastAsia="仿宋_GB2312" w:cs="仿宋_GB2312"/>
                <w:sz w:val="28"/>
                <w:szCs w:val="28"/>
              </w:rPr>
              <w:t>。</w:t>
            </w:r>
          </w:p>
        </w:tc>
        <w:tc>
          <w:tcPr>
            <w:tcW w:w="2138" w:type="dxa"/>
            <w:vAlign w:val="center"/>
          </w:tcPr>
          <w:p>
            <w:pPr>
              <w:widowControl w:val="0"/>
              <w:spacing w:line="36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评审验收。</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p>
        </w:tc>
        <w:tc>
          <w:tcPr>
            <w:tcW w:w="2595"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Times New Roman" w:eastAsia="仿宋_GB2312" w:cs="Times New Roman"/>
                <w:kern w:val="0"/>
                <w:sz w:val="28"/>
              </w:rPr>
              <w:t>测试报告</w:t>
            </w:r>
          </w:p>
        </w:tc>
        <w:tc>
          <w:tcPr>
            <w:tcW w:w="2931"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仿宋_GB2312" w:eastAsia="仿宋_GB2312" w:cs="仿宋_GB2312"/>
                <w:sz w:val="28"/>
                <w:szCs w:val="28"/>
              </w:rPr>
              <w:t>提供纸质版及电子版材料。</w:t>
            </w:r>
          </w:p>
        </w:tc>
        <w:tc>
          <w:tcPr>
            <w:tcW w:w="2138"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仿宋_GB2312" w:eastAsia="仿宋_GB2312" w:cs="仿宋_GB2312"/>
                <w:sz w:val="28"/>
                <w:szCs w:val="28"/>
              </w:rPr>
              <w:t>评审验收。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w:t>
            </w:r>
          </w:p>
        </w:tc>
        <w:tc>
          <w:tcPr>
            <w:tcW w:w="2595"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Times New Roman" w:eastAsia="仿宋_GB2312" w:cs="Times New Roman"/>
                <w:kern w:val="0"/>
                <w:sz w:val="28"/>
              </w:rPr>
              <w:t>详细测试记录</w:t>
            </w:r>
          </w:p>
        </w:tc>
        <w:tc>
          <w:tcPr>
            <w:tcW w:w="2931"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仿宋_GB2312" w:eastAsia="仿宋_GB2312" w:cs="仿宋_GB2312"/>
                <w:sz w:val="28"/>
                <w:szCs w:val="28"/>
              </w:rPr>
              <w:t>提供纸质版及电子版材料。</w:t>
            </w:r>
          </w:p>
        </w:tc>
        <w:tc>
          <w:tcPr>
            <w:tcW w:w="2138"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仿宋_GB2312" w:eastAsia="仿宋_GB2312" w:cs="仿宋_GB2312"/>
                <w:sz w:val="28"/>
                <w:szCs w:val="28"/>
              </w:rPr>
              <w:t>评审验收。</w:t>
            </w:r>
          </w:p>
        </w:tc>
      </w:tr>
    </w:tbl>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eastAsia" w:ascii="仿宋_GB2312" w:hAnsi="仿宋_GB2312"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二、付款方式</w:t>
      </w:r>
      <w:r>
        <w:rPr>
          <w:rFonts w:hint="eastAsia" w:ascii="仿宋_GB2312" w:hAnsi="仿宋_GB2312" w:eastAsia="仿宋_GB2312" w:cs="仿宋_GB2312"/>
          <w:b/>
          <w:bCs/>
          <w:sz w:val="30"/>
          <w:szCs w:val="30"/>
          <w:highlight w:val="none"/>
        </w:rPr>
        <w:t>★</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合同签订后10个工作日内支付合同金额的50%；验收完成后10个工作日内支付合同金额的50%；每次付款前，供应商需开具响应金额的增值税专用发票。</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default" w:ascii="仿宋_GB2312" w:hAnsi="仿宋_GB2312"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三、质保期限</w:t>
      </w:r>
      <w:r>
        <w:rPr>
          <w:rFonts w:hint="eastAsia" w:ascii="仿宋_GB2312" w:hAnsi="仿宋_GB2312" w:eastAsia="仿宋_GB2312" w:cs="仿宋_GB2312"/>
          <w:b/>
          <w:bCs/>
          <w:sz w:val="30"/>
          <w:szCs w:val="30"/>
          <w:highlight w:val="none"/>
        </w:rPr>
        <w:t>★</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default" w:ascii="仿宋_GB2312" w:hAnsi="仿宋_GB2312" w:eastAsia="仿宋_GB2312" w:cs="仿宋_GB2312"/>
          <w:snapToGrid w:val="0"/>
          <w:color w:val="000000"/>
          <w:spacing w:val="0"/>
          <w:kern w:val="0"/>
          <w:sz w:val="30"/>
          <w:szCs w:val="30"/>
          <w:highlight w:val="none"/>
          <w:lang w:val="en-US" w:eastAsia="zh-CN" w:bidi="ar-SA"/>
        </w:rPr>
      </w:pPr>
      <w:r>
        <w:rPr>
          <w:rFonts w:hint="eastAsia" w:ascii="仿宋_GB2312" w:hAnsi="仿宋_GB2312" w:eastAsia="仿宋_GB2312" w:cs="仿宋_GB2312"/>
          <w:snapToGrid w:val="0"/>
          <w:color w:val="000000"/>
          <w:spacing w:val="0"/>
          <w:kern w:val="0"/>
          <w:sz w:val="30"/>
          <w:szCs w:val="30"/>
          <w:highlight w:val="none"/>
          <w:lang w:val="en-US" w:eastAsia="zh-CN" w:bidi="ar-SA"/>
        </w:rPr>
        <w:t>无。</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default" w:ascii="仿宋_GB2312" w:hAnsi="仿宋_GB2312"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四、交付</w:t>
      </w:r>
      <w:r>
        <w:rPr>
          <w:rFonts w:hint="eastAsia" w:ascii="仿宋_GB2312" w:hAnsi="仿宋_GB2312" w:eastAsia="仿宋_GB2312" w:cs="仿宋_GB2312"/>
          <w:b/>
          <w:bCs/>
          <w:sz w:val="30"/>
          <w:szCs w:val="30"/>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_GB2312" w:hAnsi="仿宋_GB2312" w:eastAsia="仿宋_GB2312" w:cs="仿宋_GB2312"/>
          <w:snapToGrid w:val="0"/>
          <w:color w:val="000000"/>
          <w:spacing w:val="0"/>
          <w:kern w:val="0"/>
          <w:sz w:val="30"/>
          <w:szCs w:val="30"/>
          <w:highlight w:val="none"/>
          <w:lang w:val="en-US" w:eastAsia="zh-CN" w:bidi="ar-SA"/>
        </w:rPr>
      </w:pPr>
      <w:r>
        <w:rPr>
          <w:rFonts w:hint="eastAsia" w:ascii="仿宋_GB2312" w:hAnsi="仿宋_GB2312" w:cs="仿宋_GB2312"/>
          <w:snapToGrid w:val="0"/>
          <w:color w:val="000000"/>
          <w:spacing w:val="0"/>
          <w:kern w:val="0"/>
          <w:sz w:val="30"/>
          <w:szCs w:val="30"/>
          <w:highlight w:val="none"/>
          <w:lang w:val="en-US" w:eastAsia="zh-CN" w:bidi="ar-SA"/>
        </w:rPr>
        <w:t>交付地点：</w:t>
      </w:r>
      <w:r>
        <w:rPr>
          <w:rFonts w:hint="eastAsia" w:ascii="仿宋_GB2312" w:hAnsi="仿宋_GB2312" w:cs="仿宋_GB2312"/>
          <w:spacing w:val="-2"/>
          <w:sz w:val="30"/>
          <w:szCs w:val="30"/>
          <w:lang w:val="en-US" w:eastAsia="zh-CN"/>
        </w:rPr>
        <w:t>待定（合同签订时确认）。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both"/>
        <w:textAlignment w:val="baseline"/>
        <w:rPr>
          <w:rFonts w:hint="default" w:ascii="仿宋_GB2312" w:hAnsi="仿宋_GB2312" w:eastAsia="仿宋_GB2312" w:cs="仿宋_GB2312"/>
          <w:spacing w:val="-2"/>
          <w:sz w:val="30"/>
          <w:szCs w:val="30"/>
          <w:highlight w:val="none"/>
          <w:lang w:val="en-US" w:eastAsia="zh-CN"/>
        </w:rPr>
      </w:pPr>
      <w:r>
        <w:rPr>
          <w:rFonts w:hint="eastAsia" w:ascii="仿宋_GB2312" w:hAnsi="仿宋_GB2312" w:cs="仿宋_GB2312"/>
          <w:spacing w:val="-2"/>
          <w:sz w:val="30"/>
          <w:szCs w:val="30"/>
          <w:highlight w:val="none"/>
          <w:lang w:val="en-US" w:eastAsia="zh-CN"/>
        </w:rPr>
        <w:t>交付</w:t>
      </w:r>
      <w:r>
        <w:rPr>
          <w:rFonts w:hint="eastAsia" w:ascii="仿宋_GB2312" w:hAnsi="仿宋_GB2312" w:eastAsia="仿宋_GB2312" w:cs="仿宋_GB2312"/>
          <w:spacing w:val="-2"/>
          <w:sz w:val="30"/>
          <w:szCs w:val="30"/>
          <w:highlight w:val="none"/>
          <w:lang w:val="en-US" w:eastAsia="zh-CN"/>
        </w:rPr>
        <w:t>周期：合同签订后</w:t>
      </w:r>
      <w:r>
        <w:rPr>
          <w:rFonts w:hint="eastAsia" w:ascii="仿宋_GB2312" w:hAnsi="仿宋_GB2312" w:cs="仿宋_GB2312"/>
          <w:spacing w:val="-2"/>
          <w:sz w:val="30"/>
          <w:szCs w:val="30"/>
          <w:highlight w:val="none"/>
          <w:lang w:val="en-US" w:eastAsia="zh-CN"/>
        </w:rPr>
        <w:t>20</w:t>
      </w:r>
      <w:r>
        <w:rPr>
          <w:rFonts w:hint="eastAsia" w:ascii="仿宋_GB2312" w:hAnsi="仿宋_GB2312" w:cs="仿宋_GB2312"/>
          <w:spacing w:val="-2"/>
          <w:sz w:val="30"/>
          <w:szCs w:val="30"/>
          <w:lang w:val="en-US" w:eastAsia="zh-CN"/>
        </w:rPr>
        <w:t>日</w:t>
      </w:r>
      <w:r>
        <w:rPr>
          <w:rFonts w:hint="eastAsia" w:ascii="仿宋_GB2312" w:hAnsi="仿宋_GB2312" w:eastAsia="仿宋_GB2312" w:cs="仿宋_GB2312"/>
          <w:spacing w:val="-2"/>
          <w:sz w:val="30"/>
          <w:szCs w:val="30"/>
          <w:highlight w:val="none"/>
          <w:lang w:val="en-US" w:eastAsia="zh-CN"/>
        </w:rPr>
        <w:t>内完成交付。</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eastAsia" w:ascii="仿宋_GB2312" w:hAnsi="仿宋_GB2312" w:eastAsia="仿宋_GB2312" w:cs="仿宋_GB2312"/>
          <w:snapToGrid w:val="0"/>
          <w:color w:val="000000"/>
          <w:spacing w:val="0"/>
          <w:kern w:val="0"/>
          <w:sz w:val="30"/>
          <w:szCs w:val="30"/>
          <w:highlight w:val="yellow"/>
          <w:lang w:val="en-US" w:eastAsia="zh-CN" w:bidi="ar-SA"/>
        </w:rPr>
      </w:pP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说明：1.本章科研生产外协项目技术、服务及其他商务要求中所有条款均为本次科研生产外协项目的实质性要求（另有说明条款除外），供应商应全部满足。</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2.本章中如涉及“甲方、用户、需方、我所”均泛指采购人，“乙方、供方、承研方”均泛指供应商。</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本科研生产外协文件如涉及到配置或材料的商标、品牌、生产厂家、产地等，仅起说明作用，其目的在于清楚明确地说明科研生产外协项目的技术标准和要求。供应商响应时可选择本章推荐的，也可选择相当于或优于推荐商标、品牌、生产厂家、产地、型号的配置或材料。</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4.供应商请勿在其响应文件中提供涉密资料，由此带来的后果自负。</w:t>
      </w:r>
    </w:p>
    <w:p>
      <w:pPr>
        <w:rPr>
          <w:rFonts w:hint="eastAsia" w:ascii="仿宋_GB2312" w:hAnsi="仿宋_GB2312" w:eastAsia="仿宋_GB2312" w:cs="仿宋_GB2312"/>
          <w:b/>
          <w:bCs/>
          <w:sz w:val="30"/>
          <w:szCs w:val="30"/>
          <w:lang w:val="en-US" w:eastAsia="zh-CN"/>
        </w:rPr>
        <w:sectPr>
          <w:headerReference r:id="rId3" w:type="default"/>
          <w:footerReference r:id="rId4" w:type="default"/>
          <w:pgSz w:w="11907" w:h="16840"/>
          <w:pgMar w:top="1417" w:right="1417" w:bottom="1417" w:left="1417" w:header="964" w:footer="1109" w:gutter="0"/>
          <w:pgNumType w:fmt="decimal"/>
          <w:cols w:space="720" w:num="1"/>
          <w:rtlGutter w:val="0"/>
        </w:sectPr>
      </w:pPr>
    </w:p>
    <w:p>
      <w:bookmarkStart w:id="3" w:name="_GoBack"/>
      <w:bookmarkEnd w:id="3"/>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5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10CF4"/>
    <w:multiLevelType w:val="singleLevel"/>
    <w:tmpl w:val="DE210CF4"/>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5480D"/>
    <w:rsid w:val="42920146"/>
    <w:rsid w:val="7C65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both"/>
      <w:textAlignment w:val="baseline"/>
    </w:pPr>
    <w:rPr>
      <w:rFonts w:ascii="Arial" w:hAnsi="Arial" w:eastAsia="仿宋_GB2312" w:cs="Arial"/>
      <w:snapToGrid w:val="0"/>
      <w:color w:val="000000"/>
      <w:kern w:val="0"/>
      <w:sz w:val="32"/>
      <w:szCs w:val="21"/>
      <w:lang w:val="en-US" w:eastAsia="en-US" w:bidi="ar-SA"/>
    </w:rPr>
  </w:style>
  <w:style w:type="paragraph" w:styleId="2">
    <w:name w:val="heading 4"/>
    <w:basedOn w:val="1"/>
    <w:next w:val="1"/>
    <w:unhideWhenUsed/>
    <w:qFormat/>
    <w:uiPriority w:val="0"/>
    <w:pPr>
      <w:keepNext/>
      <w:keepLines/>
      <w:spacing w:before="40" w:beforeLines="0" w:beforeAutospacing="0" w:after="50" w:afterLines="0" w:afterAutospacing="0" w:line="240" w:lineRule="auto"/>
      <w:ind w:leftChars="200"/>
      <w:jc w:val="both"/>
      <w:outlineLvl w:val="3"/>
    </w:pPr>
    <w:rPr>
      <w:rFonts w:eastAsia="黑体"/>
      <w:b/>
      <w:sz w:val="28"/>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Body Text"/>
    <w:basedOn w:val="1"/>
    <w:next w:val="1"/>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10"/>
    <w:pPr>
      <w:spacing w:before="240" w:after="60"/>
      <w:jc w:val="center"/>
      <w:outlineLvl w:val="0"/>
    </w:pPr>
    <w:rPr>
      <w:rFonts w:ascii="Cambria" w:hAnsi="Cambria"/>
      <w:b/>
      <w:bCs/>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段"/>
    <w:next w:val="1"/>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2025-12-04T08:33:00Z</dcterms:created>
  <dc:creator>周科礼</dc:creator>
  <cp:lastModifiedBy>周科礼</cp:lastModifiedBy>
  <dcterms:modified xsi:type="dcterms:W3CDTF">2025-12-04T08:34:40Z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FD5DBEE153D445D881419415BE8F0201</vt:lpwstr>
  </property>
</Properties>
</file>